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C2" w:rsidRDefault="00F77DC2" w:rsidP="00F77DC2">
      <w:pPr>
        <w:pStyle w:val="a3"/>
        <w:spacing w:after="0" w:line="240" w:lineRule="auto"/>
        <w:jc w:val="center"/>
        <w:rPr>
          <w:b/>
          <w:sz w:val="32"/>
          <w:szCs w:val="32"/>
        </w:rPr>
      </w:pPr>
      <w:r w:rsidRPr="00F77DC2">
        <w:rPr>
          <w:b/>
          <w:sz w:val="32"/>
          <w:szCs w:val="32"/>
        </w:rPr>
        <w:t xml:space="preserve">Количество </w:t>
      </w:r>
      <w:r w:rsidR="000972C9">
        <w:rPr>
          <w:b/>
          <w:sz w:val="32"/>
          <w:szCs w:val="32"/>
        </w:rPr>
        <w:t xml:space="preserve">мест обучения </w:t>
      </w:r>
      <w:r>
        <w:rPr>
          <w:b/>
          <w:sz w:val="32"/>
          <w:szCs w:val="32"/>
        </w:rPr>
        <w:t xml:space="preserve">по платным услугам  </w:t>
      </w:r>
    </w:p>
    <w:p w:rsidR="00F77DC2" w:rsidRDefault="00F77DC2" w:rsidP="00F77DC2">
      <w:pPr>
        <w:pStyle w:val="a3"/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F77DC2" w:rsidTr="00F77DC2">
        <w:tc>
          <w:tcPr>
            <w:tcW w:w="6629" w:type="dxa"/>
          </w:tcPr>
          <w:p w:rsidR="00F77DC2" w:rsidRPr="00F77DC2" w:rsidRDefault="00F77DC2" w:rsidP="00F77D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77DC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Количество мест для обучения по каждой предпрофессиональной программе по договорам </w:t>
            </w:r>
            <w:r w:rsidRPr="00F77DC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 образовании, заключаемым при приеме на обучение за счет средств физического и (или)</w:t>
            </w:r>
          </w:p>
          <w:p w:rsidR="00F77DC2" w:rsidRPr="00F77DC2" w:rsidRDefault="00F77DC2" w:rsidP="00F77DC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юридического лица </w:t>
            </w:r>
            <w:r w:rsidRPr="00F77DC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(далее - договор об оказании платных образовательных услуг);</w:t>
            </w:r>
          </w:p>
        </w:tc>
        <w:tc>
          <w:tcPr>
            <w:tcW w:w="2942" w:type="dxa"/>
          </w:tcPr>
          <w:p w:rsidR="00F77DC2" w:rsidRDefault="00F77DC2" w:rsidP="00F77DC2">
            <w:pPr>
              <w:pStyle w:val="a3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F77DC2" w:rsidTr="00F77DC2">
        <w:tc>
          <w:tcPr>
            <w:tcW w:w="6629" w:type="dxa"/>
          </w:tcPr>
          <w:p w:rsidR="00F77DC2" w:rsidRPr="00F77DC2" w:rsidRDefault="00F77DC2" w:rsidP="00F77D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77DC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Количество мест для обучения по каждой </w:t>
            </w: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общеразвивающей</w:t>
            </w:r>
            <w:r w:rsidRPr="00F77DC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программе по договорам </w:t>
            </w:r>
            <w:r w:rsidRPr="00F77DC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 образовании, заключаемым при приеме на обучение за счет средств физического и (или)</w:t>
            </w:r>
          </w:p>
          <w:p w:rsidR="00F77DC2" w:rsidRDefault="00F77DC2" w:rsidP="00F77DC2">
            <w:pPr>
              <w:pStyle w:val="a3"/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rFonts w:eastAsia="Times New Roman"/>
                <w:color w:val="34343C"/>
                <w:lang w:eastAsia="ru-RU"/>
              </w:rPr>
              <w:t xml:space="preserve">юридического </w:t>
            </w:r>
            <w:proofErr w:type="gramStart"/>
            <w:r>
              <w:rPr>
                <w:rFonts w:eastAsia="Times New Roman"/>
                <w:color w:val="34343C"/>
                <w:lang w:eastAsia="ru-RU"/>
              </w:rPr>
              <w:t xml:space="preserve">лица </w:t>
            </w:r>
            <w:r w:rsidRPr="00F77DC2">
              <w:rPr>
                <w:rFonts w:eastAsia="Times New Roman"/>
                <w:color w:val="34343C"/>
                <w:lang w:eastAsia="ru-RU"/>
              </w:rPr>
              <w:t xml:space="preserve"> (</w:t>
            </w:r>
            <w:proofErr w:type="gramEnd"/>
            <w:r w:rsidRPr="00F77DC2">
              <w:rPr>
                <w:rFonts w:eastAsia="Times New Roman"/>
                <w:color w:val="34343C"/>
                <w:lang w:eastAsia="ru-RU"/>
              </w:rPr>
              <w:t>дале</w:t>
            </w:r>
            <w:r>
              <w:rPr>
                <w:rFonts w:eastAsia="Times New Roman"/>
                <w:color w:val="34343C"/>
                <w:lang w:eastAsia="ru-RU"/>
              </w:rPr>
              <w:t>е - договор об оказании платных</w:t>
            </w:r>
            <w:r w:rsidR="009A3570">
              <w:rPr>
                <w:rFonts w:eastAsia="Times New Roman"/>
                <w:color w:val="34343C"/>
                <w:lang w:eastAsia="ru-RU"/>
              </w:rPr>
              <w:t xml:space="preserve"> </w:t>
            </w:r>
            <w:r w:rsidRPr="00F77DC2">
              <w:rPr>
                <w:rFonts w:eastAsia="Times New Roman"/>
                <w:color w:val="34343C"/>
                <w:lang w:eastAsia="ru-RU"/>
              </w:rPr>
              <w:t>образовательных услуг);</w:t>
            </w:r>
          </w:p>
        </w:tc>
        <w:tc>
          <w:tcPr>
            <w:tcW w:w="2942" w:type="dxa"/>
          </w:tcPr>
          <w:p w:rsidR="00F77DC2" w:rsidRDefault="00F77DC2" w:rsidP="00F77DC2">
            <w:pPr>
              <w:pStyle w:val="a3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</w:tbl>
    <w:p w:rsidR="00F77DC2" w:rsidRPr="00F77DC2" w:rsidRDefault="00F77DC2" w:rsidP="00F77DC2">
      <w:pPr>
        <w:pStyle w:val="a3"/>
        <w:spacing w:after="0" w:line="240" w:lineRule="auto"/>
        <w:jc w:val="center"/>
        <w:rPr>
          <w:b/>
          <w:sz w:val="32"/>
          <w:szCs w:val="32"/>
        </w:rPr>
      </w:pPr>
    </w:p>
    <w:p w:rsidR="00F77DC2" w:rsidRDefault="00F77DC2" w:rsidP="00F77DC2">
      <w:pPr>
        <w:pStyle w:val="a3"/>
        <w:spacing w:after="0" w:line="240" w:lineRule="auto"/>
        <w:jc w:val="center"/>
        <w:rPr>
          <w:b/>
          <w:sz w:val="32"/>
          <w:szCs w:val="32"/>
        </w:rPr>
      </w:pPr>
    </w:p>
    <w:p w:rsidR="009502A9" w:rsidRDefault="009502A9" w:rsidP="009502A9">
      <w:pPr>
        <w:pStyle w:val="a3"/>
        <w:spacing w:after="75" w:line="234" w:lineRule="atLeast"/>
        <w:rPr>
          <w:rFonts w:eastAsia="Times New Roman"/>
          <w:b/>
          <w:bCs/>
          <w:color w:val="000000"/>
          <w:lang w:eastAsia="ru-RU"/>
        </w:rPr>
      </w:pPr>
      <w:bookmarkStart w:id="0" w:name="_GoBack"/>
      <w:bookmarkEnd w:id="0"/>
      <w:r>
        <w:rPr>
          <w:b/>
        </w:rPr>
        <w:t>К</w:t>
      </w:r>
      <w:r>
        <w:rPr>
          <w:rFonts w:eastAsia="Times New Roman"/>
          <w:b/>
          <w:bCs/>
          <w:color w:val="000000"/>
          <w:lang w:eastAsia="ru-RU"/>
        </w:rPr>
        <w:t xml:space="preserve">оличество   вакантных места для приема учащихся в 1-й класс на период 2025-2026 учебного года по дополнительным </w:t>
      </w:r>
      <w:r w:rsidR="000972C9">
        <w:rPr>
          <w:rFonts w:eastAsia="Times New Roman"/>
          <w:b/>
          <w:bCs/>
          <w:color w:val="000000"/>
          <w:lang w:eastAsia="ru-RU"/>
        </w:rPr>
        <w:t>общера</w:t>
      </w:r>
      <w:r>
        <w:rPr>
          <w:rFonts w:eastAsia="Times New Roman"/>
          <w:b/>
          <w:bCs/>
          <w:color w:val="000000"/>
          <w:lang w:eastAsia="ru-RU"/>
        </w:rPr>
        <w:t>звивающим программам:</w:t>
      </w:r>
    </w:p>
    <w:tbl>
      <w:tblPr>
        <w:tblW w:w="0" w:type="auto"/>
        <w:tblCellSpacing w:w="6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58"/>
        <w:gridCol w:w="1969"/>
        <w:gridCol w:w="2188"/>
      </w:tblGrid>
      <w:tr w:rsidR="009502A9" w:rsidRPr="0074146D" w:rsidTr="00CC30A3">
        <w:trPr>
          <w:tblCellSpacing w:w="60" w:type="dxa"/>
        </w:trPr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A9" w:rsidRPr="001C1227" w:rsidRDefault="009502A9" w:rsidP="00CC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2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A9" w:rsidRPr="001C1227" w:rsidRDefault="009502A9" w:rsidP="00CC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2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ведения образовательной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A9" w:rsidRPr="001C1227" w:rsidRDefault="009502A9" w:rsidP="00CC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2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вакантных мест</w:t>
            </w:r>
          </w:p>
        </w:tc>
      </w:tr>
      <w:tr w:rsidR="009502A9" w:rsidRPr="0074146D" w:rsidTr="00CC30A3">
        <w:trPr>
          <w:tblCellSpacing w:w="60" w:type="dxa"/>
        </w:trPr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C92B13" w:rsidRDefault="009502A9" w:rsidP="00CC30A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- Дополнительная общеразвивающая программа в области музыкального искусства </w:t>
            </w:r>
            <w:r w:rsidRPr="00C92B1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en-US"/>
              </w:rPr>
              <w:t>«Основы музыкального исполнительства (фортепиано)»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со сроком обучения 4 года 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A9" w:rsidRPr="003E60D4" w:rsidRDefault="009502A9" w:rsidP="00CC3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60D4">
              <w:rPr>
                <w:rFonts w:ascii="Times New Roman" w:hAnsi="Times New Roman" w:cs="Times New Roman"/>
              </w:rPr>
              <w:t>ст.Ессентукская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A9" w:rsidRPr="003E60D4" w:rsidRDefault="009502A9" w:rsidP="00CC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502A9" w:rsidRPr="0074146D" w:rsidTr="00CC30A3">
        <w:trPr>
          <w:tblCellSpacing w:w="60" w:type="dxa"/>
        </w:trPr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C92B13" w:rsidRDefault="009502A9" w:rsidP="00CC30A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- Дополнительная общеразвивающая программа в области музыкального искусства </w:t>
            </w:r>
            <w:r w:rsidRPr="0027793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en-US"/>
              </w:rPr>
              <w:t xml:space="preserve">«Основы музыкального исполнительства (скрипка)»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со сроком обучения 4 года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60D4">
              <w:rPr>
                <w:rFonts w:ascii="Times New Roman" w:hAnsi="Times New Roman" w:cs="Times New Roman"/>
              </w:rPr>
              <w:t>ст.Ессентукская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502A9" w:rsidRPr="0074146D" w:rsidTr="00CC30A3">
        <w:trPr>
          <w:tblCellSpacing w:w="60" w:type="dxa"/>
        </w:trPr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277933" w:rsidRDefault="009502A9" w:rsidP="00CC30A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- Дополнительная общеразвивающая программа в области музыкального искусства </w:t>
            </w:r>
            <w:r w:rsidRPr="0027793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en-US"/>
              </w:rPr>
              <w:t>«Основы музыкального исполнительства: народные инструменты (гитара)»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со сроком обучения 4 года 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60D4">
              <w:rPr>
                <w:rFonts w:ascii="Times New Roman" w:hAnsi="Times New Roman" w:cs="Times New Roman"/>
              </w:rPr>
              <w:t>ст.Ессентукская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F77DC2" w:rsidP="00CC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502A9" w:rsidRPr="0074146D" w:rsidTr="00CC30A3">
        <w:trPr>
          <w:tblCellSpacing w:w="60" w:type="dxa"/>
        </w:trPr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277933" w:rsidRDefault="009502A9" w:rsidP="00CC30A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- Дополнительная общеразвивающая программа в области музыкального искусства </w:t>
            </w:r>
            <w:r w:rsidRPr="00277933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ru-RU" w:bidi="en-US"/>
              </w:rPr>
              <w:t xml:space="preserve">«Музыкальный инструмент» (специализация: флейта, </w:t>
            </w:r>
            <w:proofErr w:type="spellStart"/>
            <w:r w:rsidRPr="00277933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ru-RU" w:bidi="en-US"/>
              </w:rPr>
              <w:t>блокфлейта</w:t>
            </w:r>
            <w:proofErr w:type="spellEnd"/>
            <w:r w:rsidRPr="00277933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ru-RU" w:bidi="en-US"/>
              </w:rPr>
              <w:t>)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со сроком обучения 4 года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60D4">
              <w:rPr>
                <w:rFonts w:ascii="Times New Roman" w:hAnsi="Times New Roman" w:cs="Times New Roman"/>
              </w:rPr>
              <w:t>ст.Ессентукская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502A9" w:rsidRPr="0074146D" w:rsidTr="00CC30A3">
        <w:trPr>
          <w:tblCellSpacing w:w="60" w:type="dxa"/>
        </w:trPr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277933" w:rsidRDefault="009502A9" w:rsidP="00CC30A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-  Дополнительная общеразвивающая программа в области музыкального искусства «</w:t>
            </w:r>
            <w:r w:rsidRPr="0027793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en-US"/>
              </w:rPr>
              <w:t>Музыкальный инструмент» (специализация: кларнет, саксофон)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со сроком обучения 4 года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60D4">
              <w:rPr>
                <w:rFonts w:ascii="Times New Roman" w:hAnsi="Times New Roman" w:cs="Times New Roman"/>
              </w:rPr>
              <w:t>ст.Ессентукская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502A9" w:rsidRPr="0074146D" w:rsidTr="00CC30A3">
        <w:trPr>
          <w:tblCellSpacing w:w="60" w:type="dxa"/>
        </w:trPr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277933" w:rsidRDefault="009502A9" w:rsidP="00CC30A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-  Дополнительная общеразвивающая программа в области музыкального искусства </w:t>
            </w:r>
            <w:r w:rsidRPr="0027793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en-US"/>
              </w:rPr>
              <w:t xml:space="preserve">«Музыкальный инструмент» (специализация: альт, валторна, </w:t>
            </w:r>
            <w:r w:rsidRPr="0027793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en-US"/>
              </w:rPr>
              <w:lastRenderedPageBreak/>
              <w:t>труба, тенор, баритон, тромбон, туба)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со сроком обучения 4 года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60D4">
              <w:rPr>
                <w:rFonts w:ascii="Times New Roman" w:hAnsi="Times New Roman" w:cs="Times New Roman"/>
              </w:rPr>
              <w:lastRenderedPageBreak/>
              <w:t>ст.Ессентукская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502A9" w:rsidRPr="0074146D" w:rsidTr="00CC30A3">
        <w:trPr>
          <w:tblCellSpacing w:w="60" w:type="dxa"/>
        </w:trPr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277933" w:rsidRDefault="009502A9" w:rsidP="00CC30A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- Дополнительная общеразвивающая программа в области музыкального искусства </w:t>
            </w:r>
            <w:r w:rsidRPr="0027793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en-US"/>
              </w:rPr>
              <w:t>«Сольное пение» (специализация: академическое пение, эстрадное пение)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со сроком обучения 4 года  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60D4">
              <w:rPr>
                <w:rFonts w:ascii="Times New Roman" w:hAnsi="Times New Roman" w:cs="Times New Roman"/>
              </w:rPr>
              <w:t>ст.Ессентукская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502A9" w:rsidRPr="0074146D" w:rsidTr="00CC30A3">
        <w:trPr>
          <w:tblCellSpacing w:w="60" w:type="dxa"/>
        </w:trPr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277933" w:rsidRDefault="009502A9" w:rsidP="00CC30A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- Дополнительная общеразвивающая программа в области декоративно-прикладного искусства </w:t>
            </w:r>
            <w:r w:rsidRPr="0027793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en-US"/>
              </w:rPr>
              <w:t>«Декоративно-прикладное искусство»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, со сроком обучения 3 года (от 10 до 15 лет)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60D4">
              <w:rPr>
                <w:rFonts w:ascii="Times New Roman" w:hAnsi="Times New Roman" w:cs="Times New Roman"/>
              </w:rPr>
              <w:t>ст.Ессентукская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502A9" w:rsidRPr="0074146D" w:rsidTr="00CC30A3">
        <w:trPr>
          <w:tblCellSpacing w:w="60" w:type="dxa"/>
        </w:trPr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277933" w:rsidRDefault="009502A9" w:rsidP="00CC30A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- Дополнительная общеразвивающая программа в области декоративно-прикладного искусства </w:t>
            </w:r>
            <w:r w:rsidRPr="0027793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en-US"/>
              </w:rPr>
              <w:t>«Основы декоративно-прикладного творчества»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, со сроком обучения 3 года (от 5 до 9 лет)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60D4">
              <w:rPr>
                <w:rFonts w:ascii="Times New Roman" w:hAnsi="Times New Roman" w:cs="Times New Roman"/>
              </w:rPr>
              <w:t>ст.Ессентукская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502A9" w:rsidRPr="0074146D" w:rsidTr="00CC30A3">
        <w:trPr>
          <w:tblCellSpacing w:w="60" w:type="dxa"/>
        </w:trPr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277933" w:rsidRDefault="009502A9" w:rsidP="00CC30A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-Дополнительная общеразвивающая программа о области хореографического искусства </w:t>
            </w:r>
            <w:r w:rsidRPr="0027793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en-US"/>
              </w:rPr>
              <w:t>«Основы хореографического творчества»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со сроком обучения 2 года (от 5 до 6.6 лет)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60D4">
              <w:rPr>
                <w:rFonts w:ascii="Times New Roman" w:hAnsi="Times New Roman" w:cs="Times New Roman"/>
              </w:rPr>
              <w:t>ст.Ессентукская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F77DC2" w:rsidP="00CC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9502A9" w:rsidRPr="0074146D" w:rsidTr="00CC30A3">
        <w:trPr>
          <w:tblCellSpacing w:w="60" w:type="dxa"/>
        </w:trPr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277933" w:rsidRDefault="009502A9" w:rsidP="00CC30A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-Дополнительная общеразвивающая программа в области изобразительного искусства </w:t>
            </w:r>
            <w:r w:rsidRPr="0027793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en-US"/>
              </w:rPr>
              <w:t>«Основы изобразительного творчества»</w:t>
            </w:r>
            <w:r w:rsidRPr="00F45B4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со сроком обучения 2 года (от 5 до 6,6 лет)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60D4">
              <w:rPr>
                <w:rFonts w:ascii="Times New Roman" w:hAnsi="Times New Roman" w:cs="Times New Roman"/>
              </w:rPr>
              <w:t>ст.Ессентукская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F77DC2" w:rsidP="00CC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502A9" w:rsidRPr="0074146D" w:rsidTr="00CC30A3">
        <w:trPr>
          <w:tblCellSpacing w:w="60" w:type="dxa"/>
        </w:trPr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277933" w:rsidRDefault="009502A9" w:rsidP="00CC30A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-</w:t>
            </w:r>
            <w:r w:rsidRPr="00F45B4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Дополнительная общеразвивающая программа в области изобразительного искусства </w:t>
            </w:r>
            <w:r w:rsidRPr="0027793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en-US"/>
              </w:rPr>
              <w:t>«Основы живописи»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о сроком обучения 2 года (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от  12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до 15 лет)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60D4">
              <w:rPr>
                <w:rFonts w:ascii="Times New Roman" w:hAnsi="Times New Roman" w:cs="Times New Roman"/>
              </w:rPr>
              <w:t>ст.Ессентукская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F77DC2" w:rsidP="00CC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502A9" w:rsidRPr="0074146D" w:rsidTr="00CC30A3">
        <w:trPr>
          <w:tblCellSpacing w:w="60" w:type="dxa"/>
        </w:trPr>
        <w:tc>
          <w:tcPr>
            <w:tcW w:w="5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0D4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МЕСТ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9502A9" w:rsidP="00CC3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2A9" w:rsidRPr="003E60D4" w:rsidRDefault="000972C9" w:rsidP="00CC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</w:tr>
    </w:tbl>
    <w:p w:rsidR="009502A9" w:rsidRDefault="009502A9"/>
    <w:p w:rsidR="009502A9" w:rsidRDefault="009502A9"/>
    <w:sectPr w:rsidR="009502A9" w:rsidSect="0068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A9"/>
    <w:rsid w:val="000972C9"/>
    <w:rsid w:val="00132E3E"/>
    <w:rsid w:val="00343CA2"/>
    <w:rsid w:val="00343E46"/>
    <w:rsid w:val="0047435F"/>
    <w:rsid w:val="00555568"/>
    <w:rsid w:val="00681EC2"/>
    <w:rsid w:val="008279E0"/>
    <w:rsid w:val="009069A6"/>
    <w:rsid w:val="009502A9"/>
    <w:rsid w:val="00973CD5"/>
    <w:rsid w:val="009A3570"/>
    <w:rsid w:val="00D60688"/>
    <w:rsid w:val="00F7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5479E-836E-46BD-BAFC-EDD8F817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2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2A9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7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2</cp:revision>
  <dcterms:created xsi:type="dcterms:W3CDTF">2025-09-09T20:30:00Z</dcterms:created>
  <dcterms:modified xsi:type="dcterms:W3CDTF">2025-09-09T20:30:00Z</dcterms:modified>
</cp:coreProperties>
</file>